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295CE8">
        <w:rPr>
          <w:b/>
          <w:color w:val="0000FF"/>
          <w:sz w:val="22"/>
          <w:szCs w:val="22"/>
          <w:lang w:val="en-GB"/>
        </w:rPr>
        <w:t>2</w:t>
      </w:r>
      <w:r w:rsidR="00487DF2">
        <w:rPr>
          <w:b/>
          <w:color w:val="0000FF"/>
          <w:sz w:val="22"/>
          <w:szCs w:val="22"/>
          <w:lang w:val="en-GB"/>
        </w:rPr>
        <w:t>3</w:t>
      </w:r>
      <w:r w:rsidR="00577FE7" w:rsidRPr="005659C0">
        <w:rPr>
          <w:b/>
          <w:color w:val="0000FF"/>
          <w:sz w:val="22"/>
          <w:szCs w:val="22"/>
          <w:lang w:val="en-GB"/>
        </w:rPr>
        <w:t>/</w:t>
      </w:r>
      <w:r w:rsidR="00F41616">
        <w:rPr>
          <w:b/>
          <w:color w:val="0000FF"/>
          <w:sz w:val="22"/>
          <w:szCs w:val="22"/>
          <w:lang w:val="en-GB"/>
        </w:rPr>
        <w:t>0</w:t>
      </w:r>
      <w:r w:rsidR="00050850">
        <w:rPr>
          <w:b/>
          <w:color w:val="0000FF"/>
          <w:sz w:val="22"/>
          <w:szCs w:val="22"/>
          <w:lang w:val="en-GB"/>
        </w:rPr>
        <w:t>4</w:t>
      </w:r>
      <w:r w:rsidR="00B53C0C" w:rsidRPr="005659C0">
        <w:rPr>
          <w:b/>
          <w:color w:val="0000FF"/>
          <w:sz w:val="22"/>
          <w:szCs w:val="22"/>
          <w:lang w:val="en-GB"/>
        </w:rPr>
        <w:t>/202</w:t>
      </w:r>
      <w:r w:rsidR="00F41616">
        <w:rPr>
          <w:b/>
          <w:color w:val="0000FF"/>
          <w:sz w:val="22"/>
          <w:szCs w:val="22"/>
          <w:lang w:val="en-GB"/>
        </w:rPr>
        <w:t>1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</w:tcPr>
          <w:p w:rsidR="00B53C0C" w:rsidRPr="00A35B0E" w:rsidRDefault="00B53C0C" w:rsidP="0005085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050850">
              <w:rPr>
                <w:b/>
                <w:color w:val="0000FF"/>
                <w:sz w:val="22"/>
                <w:szCs w:val="22"/>
                <w:lang w:val="en-GB"/>
              </w:rPr>
              <w:t>111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050850">
              <w:rPr>
                <w:b/>
                <w:color w:val="0000FF"/>
                <w:sz w:val="22"/>
                <w:szCs w:val="22"/>
                <w:lang w:val="en-GB"/>
              </w:rPr>
              <w:t>4</w:t>
            </w:r>
            <w:r w:rsidR="00BB3E3E">
              <w:rPr>
                <w:b/>
                <w:color w:val="0000FF"/>
                <w:sz w:val="22"/>
                <w:szCs w:val="22"/>
                <w:lang w:val="en-GB"/>
              </w:rPr>
              <w:t xml:space="preserve"> 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EA0255">
              <w:rPr>
                <w:sz w:val="22"/>
                <w:szCs w:val="22"/>
              </w:rPr>
            </w:r>
            <w:r w:rsidR="00EA0255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EA0255">
              <w:rPr>
                <w:sz w:val="22"/>
                <w:szCs w:val="22"/>
              </w:rPr>
            </w:r>
            <w:r w:rsidR="00EA0255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EA0255">
              <w:rPr>
                <w:sz w:val="22"/>
                <w:szCs w:val="22"/>
              </w:rPr>
            </w:r>
            <w:r w:rsidR="00EA0255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 Kosovare per Distribuim dhe Furnizim me Energji Elektrike sh.a.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 Bill Klinton nr.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Email: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EA025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EA0255">
              <w:rPr>
                <w:sz w:val="22"/>
                <w:szCs w:val="22"/>
              </w:rPr>
            </w:r>
            <w:r w:rsidR="00EA0255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EA0255">
              <w:rPr>
                <w:sz w:val="22"/>
                <w:szCs w:val="22"/>
              </w:rPr>
            </w:r>
            <w:r w:rsidR="00EA0255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EA0255">
              <w:rPr>
                <w:sz w:val="22"/>
                <w:szCs w:val="22"/>
              </w:rPr>
            </w:r>
            <w:r w:rsidR="00EA0255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EA0255">
              <w:rPr>
                <w:sz w:val="22"/>
                <w:szCs w:val="22"/>
              </w:rPr>
            </w:r>
            <w:r w:rsidR="00EA0255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050850" w:rsidP="00430CE4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r>
              <w:rPr>
                <w:b/>
                <w:color w:val="0000FF"/>
                <w:lang w:val="en-GB"/>
              </w:rPr>
              <w:t>Konsulencë ne lidhje me standardet ISO 27001 &amp; ISO 27701</w:t>
            </w:r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ED28E6">
            <w:pPr>
              <w:rPr>
                <w:b/>
                <w:bCs/>
                <w:sz w:val="22"/>
                <w:szCs w:val="22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EA0255">
              <w:rPr>
                <w:b/>
                <w:sz w:val="22"/>
                <w:szCs w:val="22"/>
                <w:lang w:val="en-GB"/>
              </w:rPr>
            </w:r>
            <w:r w:rsidR="00EA0255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5"/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7026E" w:rsidRDefault="0017026E" w:rsidP="00A478E2">
            <w:pPr>
              <w:rPr>
                <w:b/>
                <w:bCs/>
                <w:sz w:val="22"/>
                <w:szCs w:val="22"/>
              </w:rPr>
            </w:pPr>
            <w:r w:rsidRPr="0017026E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17026E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EA0255">
              <w:rPr>
                <w:b/>
                <w:sz w:val="22"/>
                <w:szCs w:val="22"/>
                <w:lang w:val="en-GB"/>
              </w:rPr>
            </w:r>
            <w:r w:rsidR="00EA0255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17026E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6"/>
            <w:r w:rsidR="00A478E2" w:rsidRPr="0017026E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17026E">
              <w:rPr>
                <w:b/>
                <w:sz w:val="22"/>
                <w:szCs w:val="22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17026E" w:rsidP="00ED28E6">
            <w:pPr>
              <w:rPr>
                <w:b/>
                <w:bCs/>
                <w:sz w:val="22"/>
                <w:szCs w:val="22"/>
              </w:rPr>
            </w:pPr>
            <w:r w:rsidRPr="0017026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17026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EA0255">
              <w:rPr>
                <w:b/>
                <w:color w:val="0000FF"/>
                <w:sz w:val="22"/>
                <w:szCs w:val="22"/>
                <w:lang w:val="en-GB"/>
              </w:rPr>
            </w:r>
            <w:r w:rsidR="00EA0255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17026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890A3C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  Shërbime</w:t>
            </w:r>
          </w:p>
        </w:tc>
      </w:tr>
      <w:tr w:rsidR="00BF2E26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EA0255">
              <w:rPr>
                <w:b/>
                <w:sz w:val="22"/>
                <w:szCs w:val="22"/>
                <w:lang w:val="en-GB"/>
              </w:rPr>
            </w:r>
            <w:r w:rsidR="00EA0255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EA0255">
              <w:rPr>
                <w:sz w:val="22"/>
                <w:szCs w:val="22"/>
                <w:lang w:val="en-GB"/>
              </w:rPr>
            </w:r>
            <w:r w:rsidR="00EA0255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sz w:val="22"/>
                <w:szCs w:val="22"/>
                <w:lang w:val="en-GB"/>
              </w:rPr>
              <w:t>Plani dhe ekzekutimi</w:t>
            </w:r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EA0255">
              <w:rPr>
                <w:sz w:val="22"/>
                <w:szCs w:val="22"/>
              </w:rPr>
            </w:r>
            <w:r w:rsidR="00EA0255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7026E" w:rsidRDefault="0017026E" w:rsidP="00410B40">
            <w:pPr>
              <w:rPr>
                <w:b/>
                <w:sz w:val="22"/>
                <w:szCs w:val="22"/>
                <w:lang w:val="en-GB"/>
              </w:rPr>
            </w:pPr>
            <w:r w:rsidRPr="0017026E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17026E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EA0255">
              <w:rPr>
                <w:b/>
                <w:sz w:val="22"/>
                <w:szCs w:val="22"/>
                <w:lang w:val="en-GB"/>
              </w:rPr>
            </w:r>
            <w:r w:rsidR="00EA0255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17026E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17026E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17026E">
              <w:rPr>
                <w:sz w:val="22"/>
                <w:szCs w:val="22"/>
                <w:lang w:val="en-GB"/>
              </w:rPr>
              <w:t>Blerja</w:t>
            </w:r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EA0255">
              <w:rPr>
                <w:sz w:val="22"/>
                <w:szCs w:val="22"/>
              </w:rPr>
            </w:r>
            <w:r w:rsidR="00EA0255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2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Qira financiare (lizing)</w:t>
            </w:r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EA0255">
              <w:rPr>
                <w:sz w:val="22"/>
                <w:szCs w:val="22"/>
              </w:rPr>
            </w:r>
            <w:r w:rsidR="00EA0255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3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Qira</w:t>
            </w:r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EA0255">
              <w:rPr>
                <w:sz w:val="22"/>
                <w:szCs w:val="22"/>
              </w:rPr>
            </w:r>
            <w:r w:rsidR="00EA0255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4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Blerje me këste</w:t>
            </w:r>
          </w:p>
          <w:p w:rsidR="00BF2E26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EA0255">
              <w:rPr>
                <w:sz w:val="22"/>
                <w:szCs w:val="22"/>
              </w:rPr>
            </w:r>
            <w:r w:rsidR="00EA0255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5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3A3508" w:rsidP="00ED28E6">
            <w:pPr>
              <w:rPr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</w:rPr>
              <w:t xml:space="preserve">KEDS </w:t>
            </w:r>
            <w:r w:rsidR="00835DC4" w:rsidRPr="00A35B0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5B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050850" w:rsidP="00430CE4">
            <w:pPr>
              <w:ind w:right="113"/>
              <w:rPr>
                <w:sz w:val="22"/>
                <w:szCs w:val="22"/>
              </w:rPr>
            </w:pPr>
            <w:r>
              <w:rPr>
                <w:b/>
                <w:color w:val="0000FF"/>
                <w:lang w:val="en-GB"/>
              </w:rPr>
              <w:t>Konsulencë ne lidhje me standardet ISO 27001 &amp; ISO 27701</w:t>
            </w:r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295CE8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295CE8">
              <w:rPr>
                <w:b/>
                <w:color w:val="0000FF"/>
                <w:sz w:val="22"/>
                <w:szCs w:val="22"/>
                <w:lang w:val="en-GB"/>
              </w:rPr>
              <w:t>72520000-6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A35B0E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EA0255">
              <w:rPr>
                <w:sz w:val="22"/>
                <w:szCs w:val="22"/>
              </w:rPr>
            </w:r>
            <w:r w:rsidR="00EA0255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6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B53C0C" w:rsidRPr="00A35B0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A35B0E">
              <w:rPr>
                <w:sz w:val="22"/>
                <w:szCs w:val="22"/>
              </w:rPr>
              <w:instrText xml:space="preserve"> FORMCHECKBOX </w:instrText>
            </w:r>
            <w:r w:rsidR="00EA0255">
              <w:rPr>
                <w:sz w:val="22"/>
                <w:szCs w:val="22"/>
              </w:rPr>
            </w:r>
            <w:r w:rsidR="00EA0255">
              <w:rPr>
                <w:sz w:val="22"/>
                <w:szCs w:val="22"/>
              </w:rPr>
              <w:fldChar w:fldCharType="separate"/>
            </w:r>
            <w:r w:rsidR="00B53C0C" w:rsidRPr="00A35B0E">
              <w:rPr>
                <w:sz w:val="22"/>
                <w:szCs w:val="22"/>
              </w:rPr>
              <w:fldChar w:fldCharType="end"/>
            </w:r>
            <w:bookmarkEnd w:id="27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05085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050850">
              <w:rPr>
                <w:b/>
                <w:color w:val="0000FF"/>
                <w:sz w:val="22"/>
                <w:szCs w:val="22"/>
                <w:lang w:val="en-GB"/>
              </w:rPr>
              <w:t>20</w:t>
            </w:r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,000</w:t>
            </w:r>
            <w:r w:rsidR="001C1F16" w:rsidRPr="005659C0">
              <w:rPr>
                <w:b/>
                <w:color w:val="0000FF"/>
                <w:sz w:val="22"/>
                <w:szCs w:val="22"/>
                <w:lang w:val="en-GB"/>
              </w:rPr>
              <w:t>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93" w:rsidRPr="00581E26" w:rsidRDefault="005A1293" w:rsidP="005A1293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  <w:r w:rsidRPr="00581E26">
              <w:rPr>
                <w:sz w:val="24"/>
                <w:szCs w:val="24"/>
              </w:rPr>
              <w:t xml:space="preserve"> (nga </w:t>
            </w:r>
            <w:r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5A1293" w:rsidRPr="00581E26" w:rsidRDefault="005A1293" w:rsidP="005A1293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5A1293" w:rsidRDefault="005A1293" w:rsidP="0026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</w:t>
            </w:r>
            <w:r w:rsidR="006F26CB">
              <w:rPr>
                <w:b/>
                <w:color w:val="0000FF"/>
              </w:rPr>
              <w:t xml:space="preserve"> certifikimin</w:t>
            </w:r>
            <w:r w:rsidRPr="0064637D">
              <w:rPr>
                <w:b/>
                <w:color w:val="0000FF"/>
              </w:rPr>
              <w:t xml:space="preserve">  </w:t>
            </w:r>
            <w:r w:rsidR="002627B7">
              <w:rPr>
                <w:b/>
                <w:color w:val="0000FF"/>
              </w:rPr>
              <w:t xml:space="preserve">e KEDS-it </w:t>
            </w:r>
            <w:r w:rsidR="002627B7">
              <w:rPr>
                <w:b/>
                <w:color w:val="0000FF"/>
                <w:lang w:val="en-GB"/>
              </w:rPr>
              <w:t>ne lidhje me standardet ISO 27001 &amp; ISO 27701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316251">
        <w:trPr>
          <w:trHeight w:val="83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B53C0C" w:rsidP="000A2C07">
                  <w:pPr>
                    <w:rPr>
                      <w:sz w:val="22"/>
                      <w:szCs w:val="22"/>
                    </w:rPr>
                  </w:pPr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EA025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A35B0E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D846B6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  <w:r w:rsidR="00316251" w:rsidRPr="00316251">
              <w:rPr>
                <w:b/>
                <w:color w:val="0000FF"/>
                <w:sz w:val="22"/>
                <w:szCs w:val="22"/>
              </w:rPr>
              <w:t>10% e vlerës së kontratës me validitet deri 30 ditë pas përfunditmit të kontratës.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2" w:name="Uvjet_23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_Min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4" w:name="RANGE!G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H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5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ED7534">
        <w:trPr>
          <w:trHeight w:val="890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ED7534">
              <w:trPr>
                <w:trHeight w:val="882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E65A5A" w:rsidRPr="00E65A5A" w:rsidRDefault="00E65A5A" w:rsidP="00E65A5A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OE</w:t>
                  </w:r>
                  <w:r w:rsidRPr="00E65A5A">
                    <w:rPr>
                      <w:b/>
                      <w:color w:val="0000FF"/>
                      <w:sz w:val="22"/>
                      <w:szCs w:val="22"/>
                    </w:rPr>
                    <w:t xml:space="preserve"> duhet të </w:t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  <w:t xml:space="preserve">jetë i </w:t>
                  </w:r>
                  <w:r w:rsidRPr="00E65A5A">
                    <w:rPr>
                      <w:b/>
                      <w:color w:val="0000FF"/>
                      <w:sz w:val="22"/>
                      <w:szCs w:val="22"/>
                    </w:rPr>
                    <w:t>certifik</w:t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  <w:t xml:space="preserve">uar me standarde të cilësisë ISO 9001 dhe ISO 27001. </w:t>
                  </w:r>
                  <w:r w:rsidRPr="00E65A5A">
                    <w:rPr>
                      <w:b/>
                      <w:color w:val="0000FF"/>
                      <w:sz w:val="22"/>
                      <w:szCs w:val="22"/>
                    </w:rPr>
                    <w:t>Në rast të një ndërmarrje të përbashkët, secila kompani duhet të ketë dokumentet përkatëse dhe t'i paraqesë këto dokumente së bashku me ofertën.</w:t>
                  </w:r>
                </w:p>
                <w:p w:rsidR="00E65A5A" w:rsidRPr="00E65A5A" w:rsidRDefault="00E65A5A" w:rsidP="00E65A5A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Dëshmi</w:t>
                  </w:r>
                  <w:r w:rsidRPr="00E65A5A">
                    <w:rPr>
                      <w:b/>
                      <w:color w:val="0000FF"/>
                      <w:sz w:val="22"/>
                      <w:szCs w:val="22"/>
                    </w:rPr>
                    <w:t xml:space="preserve"> </w:t>
                  </w:r>
                  <w:r w:rsidR="00B96771">
                    <w:rPr>
                      <w:b/>
                      <w:color w:val="0000FF"/>
                      <w:sz w:val="22"/>
                      <w:szCs w:val="22"/>
                    </w:rPr>
                    <w:t xml:space="preserve">për përvojë </w:t>
                  </w:r>
                  <w:r w:rsidRPr="00E65A5A">
                    <w:rPr>
                      <w:b/>
                      <w:color w:val="0000FF"/>
                      <w:sz w:val="22"/>
                      <w:szCs w:val="22"/>
                    </w:rPr>
                    <w:t>në</w:t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  <w:t xml:space="preserve"> </w:t>
                  </w:r>
                  <w:r w:rsidRPr="00E65A5A">
                    <w:rPr>
                      <w:b/>
                      <w:color w:val="0000FF"/>
                      <w:sz w:val="22"/>
                      <w:szCs w:val="22"/>
                    </w:rPr>
                    <w:t>Shërbimin e Konsulencës në 5 vitet e fundit</w:t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  <w:t>,</w:t>
                  </w:r>
                  <w:r w:rsidRPr="00E65A5A">
                    <w:rPr>
                      <w:b/>
                      <w:color w:val="0000FF"/>
                      <w:sz w:val="22"/>
                      <w:szCs w:val="22"/>
                    </w:rPr>
                    <w:t xml:space="preserve"> lidhje me ISO27001 dhe ISO 27701 </w:t>
                  </w:r>
                </w:p>
                <w:p w:rsidR="009635C3" w:rsidRPr="00D918C1" w:rsidRDefault="00B27018" w:rsidP="00B96771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 xml:space="preserve">OE </w:t>
                  </w:r>
                  <w:r w:rsidR="00E65A5A" w:rsidRPr="00E65A5A">
                    <w:rPr>
                      <w:b/>
                      <w:color w:val="0000FF"/>
                      <w:sz w:val="22"/>
                      <w:szCs w:val="22"/>
                    </w:rPr>
                    <w:t xml:space="preserve">duhet të </w:t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  <w:t xml:space="preserve">ketë të paktën </w:t>
                  </w:r>
                  <w:r w:rsidR="00E65A5A" w:rsidRPr="00E65A5A">
                    <w:rPr>
                      <w:b/>
                      <w:color w:val="0000FF"/>
                      <w:sz w:val="22"/>
                      <w:szCs w:val="22"/>
                    </w:rPr>
                    <w:t xml:space="preserve">3 </w:t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  <w:t xml:space="preserve">të punësuar </w:t>
                  </w:r>
                  <w:r w:rsidR="00B96771">
                    <w:rPr>
                      <w:b/>
                      <w:color w:val="0000FF"/>
                      <w:sz w:val="22"/>
                      <w:szCs w:val="22"/>
                    </w:rPr>
                    <w:t>të</w:t>
                  </w:r>
                  <w:r w:rsidR="00E65A5A" w:rsidRPr="00E65A5A">
                    <w:rPr>
                      <w:b/>
                      <w:color w:val="0000FF"/>
                      <w:sz w:val="22"/>
                      <w:szCs w:val="22"/>
                    </w:rPr>
                    <w:t xml:space="preserve"> çertifik</w:t>
                  </w:r>
                  <w:r w:rsidR="00B96771">
                    <w:rPr>
                      <w:b/>
                      <w:color w:val="0000FF"/>
                      <w:sz w:val="22"/>
                      <w:szCs w:val="22"/>
                    </w:rPr>
                    <w:t>uar</w:t>
                  </w:r>
                  <w:r w:rsidR="00E65A5A" w:rsidRPr="00E65A5A">
                    <w:rPr>
                      <w:b/>
                      <w:color w:val="0000FF"/>
                      <w:sz w:val="22"/>
                      <w:szCs w:val="22"/>
                    </w:rPr>
                    <w:t xml:space="preserve"> </w:t>
                  </w:r>
                  <w:r w:rsidR="00B96771">
                    <w:rPr>
                      <w:b/>
                      <w:color w:val="0000FF"/>
                      <w:sz w:val="22"/>
                      <w:szCs w:val="22"/>
                    </w:rPr>
                    <w:t>dhe të</w:t>
                  </w:r>
                  <w:r w:rsidR="00E65A5A" w:rsidRPr="00E65A5A">
                    <w:rPr>
                      <w:b/>
                      <w:color w:val="0000FF"/>
                      <w:sz w:val="22"/>
                      <w:szCs w:val="22"/>
                    </w:rPr>
                    <w:t xml:space="preserve"> paktën një prej tyre duhet të ketë certifikimin e auditorit kryesor ISO27001. Të gjitha kompetencat e ekspertëve që do të ofrojnë shërbime këshilluese do të paraqiten me dokumentet e tyre.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E65A5A" w:rsidRPr="00E65A5A" w:rsidRDefault="00E65A5A" w:rsidP="00E65A5A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C</w:t>
                  </w:r>
                  <w:r w:rsidRPr="00E65A5A">
                    <w:rPr>
                      <w:b/>
                      <w:color w:val="0000FF"/>
                      <w:sz w:val="22"/>
                      <w:szCs w:val="22"/>
                    </w:rPr>
                    <w:t xml:space="preserve">ertifikatat e </w:t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  <w:t>standardeve</w:t>
                  </w:r>
                  <w:r w:rsidRPr="00E65A5A">
                    <w:rPr>
                      <w:b/>
                      <w:color w:val="0000FF"/>
                      <w:sz w:val="22"/>
                      <w:szCs w:val="22"/>
                    </w:rPr>
                    <w:t xml:space="preserve"> ISO 9001 dhe ISO 27001 të akredituara nga BSI, BVQI, TUV në lidhje me cilësinë dhe standardet së bashku me ofertën e çmimit. Në rast të një ndërmarrje të përbashkët, secila kompani duhet të ketë dokumentet përkatëse dhe t'i paraqesë këto dokumente së bashku me ofertën.</w:t>
                  </w:r>
                </w:p>
                <w:p w:rsidR="00E65A5A" w:rsidRDefault="00E65A5A" w:rsidP="00E65A5A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R</w:t>
                  </w:r>
                  <w:r w:rsidR="00B96771">
                    <w:rPr>
                      <w:b/>
                      <w:color w:val="0000FF"/>
                      <w:sz w:val="22"/>
                      <w:szCs w:val="22"/>
                    </w:rPr>
                    <w:t xml:space="preserve">eferencat për përvojë </w:t>
                  </w:r>
                  <w:r w:rsidR="00B96771" w:rsidRPr="00E65A5A">
                    <w:rPr>
                      <w:b/>
                      <w:color w:val="0000FF"/>
                      <w:sz w:val="22"/>
                      <w:szCs w:val="22"/>
                    </w:rPr>
                    <w:t>në</w:t>
                  </w:r>
                  <w:r w:rsidR="00B96771">
                    <w:rPr>
                      <w:b/>
                      <w:color w:val="0000FF"/>
                      <w:sz w:val="22"/>
                      <w:szCs w:val="22"/>
                    </w:rPr>
                    <w:t xml:space="preserve"> </w:t>
                  </w:r>
                  <w:r w:rsidR="00B96771" w:rsidRPr="00E65A5A">
                    <w:rPr>
                      <w:b/>
                      <w:color w:val="0000FF"/>
                      <w:sz w:val="22"/>
                      <w:szCs w:val="22"/>
                    </w:rPr>
                    <w:t>Shërbimin e Konsulencës në 5 vitet e fundit</w:t>
                  </w:r>
                  <w:r w:rsidR="00B96771">
                    <w:rPr>
                      <w:b/>
                      <w:color w:val="0000FF"/>
                      <w:sz w:val="22"/>
                      <w:szCs w:val="22"/>
                    </w:rPr>
                    <w:t>,</w:t>
                  </w:r>
                  <w:r w:rsidR="00B96771" w:rsidRPr="00E65A5A">
                    <w:rPr>
                      <w:b/>
                      <w:color w:val="0000FF"/>
                      <w:sz w:val="22"/>
                      <w:szCs w:val="22"/>
                    </w:rPr>
                    <w:t xml:space="preserve"> lidhje me ISO27001 dhe ISO 27701</w:t>
                  </w:r>
                </w:p>
                <w:p w:rsidR="009635C3" w:rsidRPr="00E65A5A" w:rsidRDefault="004E78D3" w:rsidP="003166FA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Certifikata</w:t>
                  </w:r>
                  <w:r w:rsidR="003166FA">
                    <w:rPr>
                      <w:b/>
                      <w:color w:val="0000FF"/>
                      <w:sz w:val="22"/>
                      <w:szCs w:val="22"/>
                    </w:rPr>
                    <w:t xml:space="preserve"> dhe t</w:t>
                  </w:r>
                  <w:r w:rsidR="003166FA" w:rsidRPr="00E65A5A">
                    <w:rPr>
                      <w:b/>
                      <w:color w:val="0000FF"/>
                      <w:sz w:val="22"/>
                      <w:szCs w:val="22"/>
                    </w:rPr>
                    <w:t>ë gjitha kompetencat e ekspertëve që do të ofrojnë shërbime këshilluese do të paraqiten me dokumentet e tyre</w:t>
                  </w: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ED7534" w:rsidRDefault="00ED7534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A35B0E" w:rsidTr="00904160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904160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3166FA" w:rsidP="00F50D90">
            <w:pPr>
              <w:rPr>
                <w:b/>
                <w:sz w:val="22"/>
                <w:szCs w:val="22"/>
              </w:rPr>
            </w:pPr>
            <w:r w:rsidRPr="003166FA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3166FA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A0255">
              <w:rPr>
                <w:b/>
                <w:color w:val="0000FF"/>
                <w:sz w:val="22"/>
                <w:szCs w:val="22"/>
              </w:rPr>
            </w:r>
            <w:r w:rsidR="00EA0255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3166FA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0"/>
            <w:r w:rsidR="00A40776" w:rsidRPr="003166FA">
              <w:rPr>
                <w:b/>
                <w:color w:val="0000FF"/>
                <w:sz w:val="22"/>
                <w:szCs w:val="22"/>
              </w:rPr>
              <w:t xml:space="preserve">  E hapur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EA0255">
              <w:rPr>
                <w:b/>
                <w:sz w:val="22"/>
                <w:szCs w:val="22"/>
              </w:rPr>
            </w:r>
            <w:r w:rsidR="00EA0255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EA0255">
              <w:rPr>
                <w:b/>
                <w:sz w:val="22"/>
                <w:szCs w:val="22"/>
              </w:rPr>
            </w:r>
            <w:r w:rsidR="00EA0255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3166FA" w:rsidP="004F7DBC">
            <w:pPr>
              <w:rPr>
                <w:b/>
                <w:sz w:val="22"/>
                <w:szCs w:val="22"/>
              </w:rPr>
            </w:pPr>
            <w:r w:rsidRPr="003166FA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6FA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EA0255">
              <w:rPr>
                <w:b/>
                <w:sz w:val="22"/>
                <w:szCs w:val="22"/>
                <w:lang w:val="en-GB"/>
              </w:rPr>
            </w:r>
            <w:r w:rsidR="00EA0255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3166FA">
              <w:rPr>
                <w:b/>
                <w:sz w:val="22"/>
                <w:szCs w:val="22"/>
                <w:lang w:val="en-GB"/>
              </w:rPr>
              <w:fldChar w:fldCharType="end"/>
            </w:r>
            <w:r w:rsidR="00A40776" w:rsidRPr="003166FA">
              <w:rPr>
                <w:b/>
                <w:sz w:val="22"/>
                <w:szCs w:val="22"/>
                <w:lang w:val="en-GB"/>
              </w:rPr>
              <w:t xml:space="preserve">  Kuotim i Çmimit</w:t>
            </w:r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EA0255">
              <w:rPr>
                <w:b/>
                <w:color w:val="0000FF"/>
                <w:sz w:val="22"/>
                <w:szCs w:val="22"/>
                <w:lang w:val="en-GB"/>
              </w:rPr>
            </w:r>
            <w:r w:rsidR="00EA0255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5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 më i ulët</w:t>
            </w:r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EA0255">
              <w:rPr>
                <w:b/>
                <w:sz w:val="22"/>
                <w:szCs w:val="22"/>
              </w:rPr>
            </w:r>
            <w:r w:rsidR="00EA0255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A35B0E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4B4B7F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6D5B66" w:rsidRPr="00A35B0E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email</w:t>
            </w:r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6F26CB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data</w:t>
            </w:r>
            <w:r w:rsidR="006D5B66" w:rsidRPr="00A35B0E">
              <w:rPr>
                <w:sz w:val="22"/>
                <w:szCs w:val="22"/>
              </w:rPr>
              <w:t xml:space="preserve"> </w:t>
            </w:r>
            <w:r w:rsidR="006F26CB">
              <w:rPr>
                <w:b/>
                <w:color w:val="0000FF"/>
                <w:sz w:val="22"/>
                <w:szCs w:val="22"/>
                <w:lang w:val="en-GB"/>
              </w:rPr>
              <w:t>05</w:t>
            </w:r>
            <w:r w:rsidR="006D5B66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6F26CB">
              <w:rPr>
                <w:b/>
                <w:color w:val="0000FF"/>
                <w:sz w:val="22"/>
                <w:szCs w:val="22"/>
                <w:lang w:val="en-GB"/>
              </w:rPr>
              <w:t>5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>ntet me pages</w:t>
            </w:r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D10A7D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bookmarkStart w:id="51" w:name="_GoBack"/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35B0E">
              <w:rPr>
                <w:i/>
                <w:sz w:val="22"/>
                <w:szCs w:val="22"/>
              </w:rPr>
              <w:t xml:space="preserve"> </w:t>
            </w:r>
            <w:r w:rsidR="003166FA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D10A7D">
              <w:rPr>
                <w:b/>
                <w:color w:val="0000FF"/>
                <w:sz w:val="22"/>
                <w:szCs w:val="22"/>
                <w:lang w:val="en-GB"/>
              </w:rPr>
              <w:t>4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bookmarkEnd w:id="51"/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3166FA">
              <w:rPr>
                <w:b/>
                <w:color w:val="0000FF"/>
                <w:sz w:val="22"/>
                <w:szCs w:val="22"/>
                <w:lang w:val="en-GB"/>
              </w:rPr>
              <w:t>5</w:t>
            </w:r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Arhiva</w:t>
            </w:r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në ndërtesën Qendrore</w:t>
            </w:r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E41853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EA0255">
              <w:rPr>
                <w:sz w:val="22"/>
                <w:szCs w:val="22"/>
              </w:rPr>
            </w:r>
            <w:r w:rsidR="00EA0255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52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 w:rsidR="00CD3D54" w:rsidRPr="00A35B0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A35B0E">
              <w:rPr>
                <w:sz w:val="22"/>
                <w:szCs w:val="22"/>
              </w:rPr>
              <w:instrText xml:space="preserve"> FORMCHECKBOX </w:instrText>
            </w:r>
            <w:r w:rsidR="00EA0255">
              <w:rPr>
                <w:sz w:val="22"/>
                <w:szCs w:val="22"/>
              </w:rPr>
            </w:r>
            <w:r w:rsidR="00EA0255">
              <w:rPr>
                <w:sz w:val="22"/>
                <w:szCs w:val="22"/>
              </w:rPr>
              <w:fldChar w:fldCharType="separate"/>
            </w:r>
            <w:r w:rsidR="00CD3D54" w:rsidRPr="00A35B0E">
              <w:rPr>
                <w:sz w:val="22"/>
                <w:szCs w:val="22"/>
              </w:rPr>
              <w:fldChar w:fldCharType="end"/>
            </w:r>
            <w:bookmarkEnd w:id="53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604030" w:rsidRPr="00A35B0E" w:rsidRDefault="00166A92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604030" w:rsidRPr="00A35B0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A35B0E" w:rsidRDefault="00604030" w:rsidP="003D42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A35B0E" w:rsidRDefault="0095704E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A0255">
                    <w:rPr>
                      <w:sz w:val="22"/>
                      <w:szCs w:val="22"/>
                    </w:rPr>
                  </w:r>
                  <w:r w:rsidR="00EA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55" w:rsidRDefault="00EA0255">
      <w:r>
        <w:separator/>
      </w:r>
    </w:p>
  </w:endnote>
  <w:endnote w:type="continuationSeparator" w:id="0">
    <w:p w:rsidR="00EA0255" w:rsidRDefault="00EA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0A7D">
      <w:rPr>
        <w:rStyle w:val="PageNumber"/>
        <w:noProof/>
      </w:rPr>
      <w:t>1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55" w:rsidRDefault="00EA0255">
      <w:r>
        <w:separator/>
      </w:r>
    </w:p>
  </w:footnote>
  <w:footnote w:type="continuationSeparator" w:id="0">
    <w:p w:rsidR="00EA0255" w:rsidRDefault="00EA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0083E40"/>
    <w:multiLevelType w:val="hybridMultilevel"/>
    <w:tmpl w:val="9FF02988"/>
    <w:lvl w:ilvl="0" w:tplc="20CC9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ED5EE0"/>
    <w:multiLevelType w:val="hybridMultilevel"/>
    <w:tmpl w:val="9FF02988"/>
    <w:lvl w:ilvl="0" w:tplc="20CC9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8"/>
  </w:num>
  <w:num w:numId="14">
    <w:abstractNumId w:val="11"/>
  </w:num>
  <w:num w:numId="15">
    <w:abstractNumId w:val="2"/>
  </w:num>
  <w:num w:numId="16">
    <w:abstractNumId w:val="6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57A3"/>
    <w:rsid w:val="00007A70"/>
    <w:rsid w:val="00020012"/>
    <w:rsid w:val="0002651F"/>
    <w:rsid w:val="00037AE6"/>
    <w:rsid w:val="00040E6C"/>
    <w:rsid w:val="000457B5"/>
    <w:rsid w:val="00050391"/>
    <w:rsid w:val="00050850"/>
    <w:rsid w:val="00051B01"/>
    <w:rsid w:val="00062E22"/>
    <w:rsid w:val="000634A1"/>
    <w:rsid w:val="00067135"/>
    <w:rsid w:val="00070FA8"/>
    <w:rsid w:val="00074123"/>
    <w:rsid w:val="00074E18"/>
    <w:rsid w:val="00084AEE"/>
    <w:rsid w:val="00087961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2DD"/>
    <w:rsid w:val="00113C58"/>
    <w:rsid w:val="00115F91"/>
    <w:rsid w:val="00117809"/>
    <w:rsid w:val="001231A8"/>
    <w:rsid w:val="00126063"/>
    <w:rsid w:val="00145339"/>
    <w:rsid w:val="00151176"/>
    <w:rsid w:val="001578F9"/>
    <w:rsid w:val="0016192E"/>
    <w:rsid w:val="00166A92"/>
    <w:rsid w:val="0017026E"/>
    <w:rsid w:val="001919BD"/>
    <w:rsid w:val="0019305A"/>
    <w:rsid w:val="00195592"/>
    <w:rsid w:val="001A4E98"/>
    <w:rsid w:val="001A6E90"/>
    <w:rsid w:val="001A6FAB"/>
    <w:rsid w:val="001B40F6"/>
    <w:rsid w:val="001C1F16"/>
    <w:rsid w:val="001C41D7"/>
    <w:rsid w:val="001C4C60"/>
    <w:rsid w:val="001C574B"/>
    <w:rsid w:val="001C57C3"/>
    <w:rsid w:val="001E04A1"/>
    <w:rsid w:val="001E3644"/>
    <w:rsid w:val="001E7C0F"/>
    <w:rsid w:val="001F07D7"/>
    <w:rsid w:val="001F1699"/>
    <w:rsid w:val="001F2F33"/>
    <w:rsid w:val="001F57CB"/>
    <w:rsid w:val="002003A1"/>
    <w:rsid w:val="00216BAC"/>
    <w:rsid w:val="0022031D"/>
    <w:rsid w:val="002258CC"/>
    <w:rsid w:val="0022723C"/>
    <w:rsid w:val="002334D2"/>
    <w:rsid w:val="00234DA4"/>
    <w:rsid w:val="00235E7F"/>
    <w:rsid w:val="0025138E"/>
    <w:rsid w:val="0025704B"/>
    <w:rsid w:val="00260F11"/>
    <w:rsid w:val="002627B7"/>
    <w:rsid w:val="00265508"/>
    <w:rsid w:val="00266D83"/>
    <w:rsid w:val="002778E0"/>
    <w:rsid w:val="00282F88"/>
    <w:rsid w:val="00283493"/>
    <w:rsid w:val="002851E8"/>
    <w:rsid w:val="00295CE8"/>
    <w:rsid w:val="002A03C5"/>
    <w:rsid w:val="002A3BA2"/>
    <w:rsid w:val="002B0424"/>
    <w:rsid w:val="002C7314"/>
    <w:rsid w:val="002C7B52"/>
    <w:rsid w:val="002E2A03"/>
    <w:rsid w:val="002E305F"/>
    <w:rsid w:val="002E3E59"/>
    <w:rsid w:val="002E6811"/>
    <w:rsid w:val="002E682F"/>
    <w:rsid w:val="002F4198"/>
    <w:rsid w:val="002F4466"/>
    <w:rsid w:val="002F452D"/>
    <w:rsid w:val="002F7E6D"/>
    <w:rsid w:val="00311323"/>
    <w:rsid w:val="00316251"/>
    <w:rsid w:val="003166FA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C0E8E"/>
    <w:rsid w:val="003C5D9A"/>
    <w:rsid w:val="003C75EF"/>
    <w:rsid w:val="003D4207"/>
    <w:rsid w:val="003D6FF1"/>
    <w:rsid w:val="003E0392"/>
    <w:rsid w:val="003E2914"/>
    <w:rsid w:val="003F356B"/>
    <w:rsid w:val="003F6EF8"/>
    <w:rsid w:val="004006DA"/>
    <w:rsid w:val="00402705"/>
    <w:rsid w:val="004066A4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0CE4"/>
    <w:rsid w:val="0043568D"/>
    <w:rsid w:val="0044001A"/>
    <w:rsid w:val="004404F9"/>
    <w:rsid w:val="00443A34"/>
    <w:rsid w:val="0045345E"/>
    <w:rsid w:val="00472E17"/>
    <w:rsid w:val="004737CC"/>
    <w:rsid w:val="004762C3"/>
    <w:rsid w:val="00480CE5"/>
    <w:rsid w:val="00487DF2"/>
    <w:rsid w:val="0049463C"/>
    <w:rsid w:val="00494DC5"/>
    <w:rsid w:val="004952FE"/>
    <w:rsid w:val="004A4C4A"/>
    <w:rsid w:val="004A4E27"/>
    <w:rsid w:val="004B3907"/>
    <w:rsid w:val="004B4B7F"/>
    <w:rsid w:val="004B6CAA"/>
    <w:rsid w:val="004D0401"/>
    <w:rsid w:val="004D099C"/>
    <w:rsid w:val="004D148F"/>
    <w:rsid w:val="004D23C7"/>
    <w:rsid w:val="004D25B2"/>
    <w:rsid w:val="004E121D"/>
    <w:rsid w:val="004E5C12"/>
    <w:rsid w:val="004E78D3"/>
    <w:rsid w:val="004F7DBC"/>
    <w:rsid w:val="00504338"/>
    <w:rsid w:val="0050757C"/>
    <w:rsid w:val="00521F8E"/>
    <w:rsid w:val="0052234B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59C0"/>
    <w:rsid w:val="00566E16"/>
    <w:rsid w:val="00574537"/>
    <w:rsid w:val="00577FE7"/>
    <w:rsid w:val="0058131A"/>
    <w:rsid w:val="00586C1E"/>
    <w:rsid w:val="005945D2"/>
    <w:rsid w:val="00597D8A"/>
    <w:rsid w:val="005A1293"/>
    <w:rsid w:val="005B4F6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0C92"/>
    <w:rsid w:val="006028ED"/>
    <w:rsid w:val="00604030"/>
    <w:rsid w:val="00605066"/>
    <w:rsid w:val="006106FA"/>
    <w:rsid w:val="006238DD"/>
    <w:rsid w:val="006266D9"/>
    <w:rsid w:val="00631D58"/>
    <w:rsid w:val="006338B3"/>
    <w:rsid w:val="00642D32"/>
    <w:rsid w:val="006440AC"/>
    <w:rsid w:val="00655FB1"/>
    <w:rsid w:val="00665783"/>
    <w:rsid w:val="00670B96"/>
    <w:rsid w:val="00674CBE"/>
    <w:rsid w:val="00675629"/>
    <w:rsid w:val="00676F61"/>
    <w:rsid w:val="00686CDC"/>
    <w:rsid w:val="0068736C"/>
    <w:rsid w:val="0069133D"/>
    <w:rsid w:val="00694D7A"/>
    <w:rsid w:val="00696BC3"/>
    <w:rsid w:val="006B3282"/>
    <w:rsid w:val="006C6893"/>
    <w:rsid w:val="006D075F"/>
    <w:rsid w:val="006D0823"/>
    <w:rsid w:val="006D5B66"/>
    <w:rsid w:val="006D6109"/>
    <w:rsid w:val="006E4C79"/>
    <w:rsid w:val="006F26CB"/>
    <w:rsid w:val="007030BC"/>
    <w:rsid w:val="007117F3"/>
    <w:rsid w:val="007134D2"/>
    <w:rsid w:val="0072501D"/>
    <w:rsid w:val="0073235A"/>
    <w:rsid w:val="00732BC8"/>
    <w:rsid w:val="00735BE9"/>
    <w:rsid w:val="00737330"/>
    <w:rsid w:val="00745427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3392"/>
    <w:rsid w:val="007D6841"/>
    <w:rsid w:val="007E41A0"/>
    <w:rsid w:val="007E441E"/>
    <w:rsid w:val="007E52A5"/>
    <w:rsid w:val="007E68D8"/>
    <w:rsid w:val="007F3050"/>
    <w:rsid w:val="007F3614"/>
    <w:rsid w:val="008279F3"/>
    <w:rsid w:val="00833E0E"/>
    <w:rsid w:val="00835DC4"/>
    <w:rsid w:val="00836281"/>
    <w:rsid w:val="00843069"/>
    <w:rsid w:val="00843558"/>
    <w:rsid w:val="008529A5"/>
    <w:rsid w:val="00854FF0"/>
    <w:rsid w:val="0085617B"/>
    <w:rsid w:val="00865296"/>
    <w:rsid w:val="008663C9"/>
    <w:rsid w:val="00866589"/>
    <w:rsid w:val="008777C3"/>
    <w:rsid w:val="00884BBA"/>
    <w:rsid w:val="00884C8E"/>
    <w:rsid w:val="00886CC0"/>
    <w:rsid w:val="00890A3C"/>
    <w:rsid w:val="00894198"/>
    <w:rsid w:val="00895802"/>
    <w:rsid w:val="008A38ED"/>
    <w:rsid w:val="008A7F47"/>
    <w:rsid w:val="008B0032"/>
    <w:rsid w:val="008B0052"/>
    <w:rsid w:val="008B1E40"/>
    <w:rsid w:val="008E4535"/>
    <w:rsid w:val="008E5545"/>
    <w:rsid w:val="008F2C00"/>
    <w:rsid w:val="008F485E"/>
    <w:rsid w:val="008F6F28"/>
    <w:rsid w:val="009007B5"/>
    <w:rsid w:val="00904160"/>
    <w:rsid w:val="009044D8"/>
    <w:rsid w:val="00910A0B"/>
    <w:rsid w:val="00913441"/>
    <w:rsid w:val="00914613"/>
    <w:rsid w:val="0091662F"/>
    <w:rsid w:val="00931454"/>
    <w:rsid w:val="00932368"/>
    <w:rsid w:val="00933291"/>
    <w:rsid w:val="00933386"/>
    <w:rsid w:val="009368CD"/>
    <w:rsid w:val="00947B94"/>
    <w:rsid w:val="0095704E"/>
    <w:rsid w:val="009635C3"/>
    <w:rsid w:val="009709A1"/>
    <w:rsid w:val="00975478"/>
    <w:rsid w:val="00977E25"/>
    <w:rsid w:val="00983E5A"/>
    <w:rsid w:val="009840C5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088B"/>
    <w:rsid w:val="00A0359D"/>
    <w:rsid w:val="00A04628"/>
    <w:rsid w:val="00A04848"/>
    <w:rsid w:val="00A103C8"/>
    <w:rsid w:val="00A124CC"/>
    <w:rsid w:val="00A14286"/>
    <w:rsid w:val="00A31B0D"/>
    <w:rsid w:val="00A35B0E"/>
    <w:rsid w:val="00A36980"/>
    <w:rsid w:val="00A40776"/>
    <w:rsid w:val="00A478E2"/>
    <w:rsid w:val="00A520BA"/>
    <w:rsid w:val="00A536E0"/>
    <w:rsid w:val="00A5797E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2281"/>
    <w:rsid w:val="00AC3717"/>
    <w:rsid w:val="00AD10C4"/>
    <w:rsid w:val="00AD2211"/>
    <w:rsid w:val="00AD697C"/>
    <w:rsid w:val="00AE1F6A"/>
    <w:rsid w:val="00AE3C1C"/>
    <w:rsid w:val="00AE6577"/>
    <w:rsid w:val="00AE685A"/>
    <w:rsid w:val="00AF1E9C"/>
    <w:rsid w:val="00B063A4"/>
    <w:rsid w:val="00B11259"/>
    <w:rsid w:val="00B134A4"/>
    <w:rsid w:val="00B1776F"/>
    <w:rsid w:val="00B27018"/>
    <w:rsid w:val="00B345BD"/>
    <w:rsid w:val="00B4347F"/>
    <w:rsid w:val="00B45DEF"/>
    <w:rsid w:val="00B46581"/>
    <w:rsid w:val="00B53C0C"/>
    <w:rsid w:val="00B55E17"/>
    <w:rsid w:val="00B6359B"/>
    <w:rsid w:val="00B7053F"/>
    <w:rsid w:val="00B83A45"/>
    <w:rsid w:val="00B8444D"/>
    <w:rsid w:val="00B907F8"/>
    <w:rsid w:val="00B96771"/>
    <w:rsid w:val="00B967F1"/>
    <w:rsid w:val="00B969A5"/>
    <w:rsid w:val="00B97B05"/>
    <w:rsid w:val="00BA2902"/>
    <w:rsid w:val="00BA30BF"/>
    <w:rsid w:val="00BA33F9"/>
    <w:rsid w:val="00BA70A0"/>
    <w:rsid w:val="00BB2A9A"/>
    <w:rsid w:val="00BB3E3E"/>
    <w:rsid w:val="00BC4F78"/>
    <w:rsid w:val="00BC68C3"/>
    <w:rsid w:val="00BD02CC"/>
    <w:rsid w:val="00BD22CC"/>
    <w:rsid w:val="00BD3E87"/>
    <w:rsid w:val="00BE47D1"/>
    <w:rsid w:val="00BE64C9"/>
    <w:rsid w:val="00BE6E43"/>
    <w:rsid w:val="00BF1B6C"/>
    <w:rsid w:val="00BF2BD0"/>
    <w:rsid w:val="00BF2E26"/>
    <w:rsid w:val="00C00203"/>
    <w:rsid w:val="00C01446"/>
    <w:rsid w:val="00C02DD8"/>
    <w:rsid w:val="00C06AE4"/>
    <w:rsid w:val="00C06C1E"/>
    <w:rsid w:val="00C11004"/>
    <w:rsid w:val="00C16CF2"/>
    <w:rsid w:val="00C203E5"/>
    <w:rsid w:val="00C253A6"/>
    <w:rsid w:val="00C33B8A"/>
    <w:rsid w:val="00C40FEE"/>
    <w:rsid w:val="00C42809"/>
    <w:rsid w:val="00C458E6"/>
    <w:rsid w:val="00C45B98"/>
    <w:rsid w:val="00C51B7B"/>
    <w:rsid w:val="00C54539"/>
    <w:rsid w:val="00C54B35"/>
    <w:rsid w:val="00C5529E"/>
    <w:rsid w:val="00C67405"/>
    <w:rsid w:val="00C706AB"/>
    <w:rsid w:val="00C817AF"/>
    <w:rsid w:val="00C817B8"/>
    <w:rsid w:val="00C82DAB"/>
    <w:rsid w:val="00C85BB6"/>
    <w:rsid w:val="00C95175"/>
    <w:rsid w:val="00C97519"/>
    <w:rsid w:val="00CB2271"/>
    <w:rsid w:val="00CC0A85"/>
    <w:rsid w:val="00CD3D54"/>
    <w:rsid w:val="00CD69A8"/>
    <w:rsid w:val="00CD6C69"/>
    <w:rsid w:val="00CE54D7"/>
    <w:rsid w:val="00CF57E9"/>
    <w:rsid w:val="00CF787A"/>
    <w:rsid w:val="00D0315F"/>
    <w:rsid w:val="00D06500"/>
    <w:rsid w:val="00D10A7D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46B6"/>
    <w:rsid w:val="00D8689A"/>
    <w:rsid w:val="00D86EB6"/>
    <w:rsid w:val="00D91585"/>
    <w:rsid w:val="00D918C1"/>
    <w:rsid w:val="00DA3BE3"/>
    <w:rsid w:val="00DB0C5F"/>
    <w:rsid w:val="00DB3B46"/>
    <w:rsid w:val="00DB40AA"/>
    <w:rsid w:val="00DB6136"/>
    <w:rsid w:val="00DC2A2B"/>
    <w:rsid w:val="00DC64FD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36F4"/>
    <w:rsid w:val="00E374CF"/>
    <w:rsid w:val="00E40CE3"/>
    <w:rsid w:val="00E40EC7"/>
    <w:rsid w:val="00E41511"/>
    <w:rsid w:val="00E41853"/>
    <w:rsid w:val="00E457BC"/>
    <w:rsid w:val="00E46E00"/>
    <w:rsid w:val="00E47000"/>
    <w:rsid w:val="00E54914"/>
    <w:rsid w:val="00E5573B"/>
    <w:rsid w:val="00E60D90"/>
    <w:rsid w:val="00E63BE2"/>
    <w:rsid w:val="00E65A5A"/>
    <w:rsid w:val="00E6660B"/>
    <w:rsid w:val="00E70626"/>
    <w:rsid w:val="00E7156C"/>
    <w:rsid w:val="00E71E02"/>
    <w:rsid w:val="00E75531"/>
    <w:rsid w:val="00E830FD"/>
    <w:rsid w:val="00E8353F"/>
    <w:rsid w:val="00E8459A"/>
    <w:rsid w:val="00E9273C"/>
    <w:rsid w:val="00EA0255"/>
    <w:rsid w:val="00EA05B4"/>
    <w:rsid w:val="00EA300F"/>
    <w:rsid w:val="00EA39E1"/>
    <w:rsid w:val="00EA58D3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D7534"/>
    <w:rsid w:val="00EF06F3"/>
    <w:rsid w:val="00F03D03"/>
    <w:rsid w:val="00F07109"/>
    <w:rsid w:val="00F10D9B"/>
    <w:rsid w:val="00F16A7F"/>
    <w:rsid w:val="00F21B0A"/>
    <w:rsid w:val="00F31986"/>
    <w:rsid w:val="00F36A4D"/>
    <w:rsid w:val="00F4081B"/>
    <w:rsid w:val="00F41616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B02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F081A71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F3B0-34DA-4DB0-BF05-4AC9464B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2</cp:revision>
  <cp:lastPrinted>2011-06-03T08:36:00Z</cp:lastPrinted>
  <dcterms:created xsi:type="dcterms:W3CDTF">2021-04-30T09:28:00Z</dcterms:created>
  <dcterms:modified xsi:type="dcterms:W3CDTF">2021-04-30T09:28:00Z</dcterms:modified>
</cp:coreProperties>
</file>